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D104C" w14:textId="2B6891D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A106A6" w:rsidRPr="00A106A6">
        <w:rPr>
          <w:bCs/>
          <w:noProof w:val="0"/>
          <w:sz w:val="24"/>
          <w:szCs w:val="24"/>
        </w:rPr>
        <w:t>R2-1702777</w:t>
      </w:r>
    </w:p>
    <w:p w14:paraId="4356DD58"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76765979" w14:textId="77777777" w:rsidR="00CD4C7B" w:rsidRPr="00B266B0" w:rsidRDefault="00CD4C7B" w:rsidP="00CD4C7B">
      <w:pPr>
        <w:pStyle w:val="Header"/>
        <w:rPr>
          <w:bCs/>
          <w:noProof w:val="0"/>
          <w:sz w:val="24"/>
        </w:rPr>
      </w:pPr>
    </w:p>
    <w:p w14:paraId="3553755D" w14:textId="77777777" w:rsidR="00CD4C7B" w:rsidRPr="00B266B0" w:rsidRDefault="00CD4C7B" w:rsidP="00CD4C7B">
      <w:pPr>
        <w:pStyle w:val="Header"/>
        <w:rPr>
          <w:bCs/>
          <w:noProof w:val="0"/>
          <w:sz w:val="24"/>
        </w:rPr>
      </w:pPr>
    </w:p>
    <w:p w14:paraId="5DCA34BE" w14:textId="6C99783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106A6" w:rsidRPr="00A106A6">
        <w:rPr>
          <w:rFonts w:cs="Arial"/>
          <w:b/>
          <w:bCs/>
          <w:sz w:val="24"/>
          <w:lang w:eastAsia="ja-JP"/>
        </w:rPr>
        <w:t>10.2.2.2</w:t>
      </w:r>
    </w:p>
    <w:p w14:paraId="3156539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57D07C6D" w14:textId="587B081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B3325">
        <w:rPr>
          <w:rFonts w:ascii="Arial" w:hAnsi="Arial" w:cs="Arial"/>
          <w:b/>
          <w:bCs/>
          <w:sz w:val="24"/>
        </w:rPr>
        <w:t>S</w:t>
      </w:r>
      <w:r w:rsidR="000B3325" w:rsidRPr="000B3325">
        <w:rPr>
          <w:rFonts w:ascii="Arial" w:hAnsi="Arial" w:cs="Arial"/>
          <w:b/>
          <w:bCs/>
          <w:sz w:val="24"/>
        </w:rPr>
        <w:t>plit SCG SRB for LTE/NR dual connectivity</w:t>
      </w:r>
    </w:p>
    <w:p w14:paraId="74423584" w14:textId="5084D27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106A6" w:rsidRPr="00A106A6">
        <w:rPr>
          <w:rFonts w:ascii="Arial" w:hAnsi="Arial" w:cs="Arial"/>
          <w:b/>
          <w:bCs/>
          <w:sz w:val="24"/>
        </w:rPr>
        <w:t>NR_newRAT (Release 15)</w:t>
      </w:r>
    </w:p>
    <w:p w14:paraId="2B0BF39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48C3A87" w14:textId="77777777" w:rsidR="00CD4C7B" w:rsidRPr="006E13D1" w:rsidRDefault="00CD4C7B" w:rsidP="00CD4C7B">
      <w:pPr>
        <w:pStyle w:val="Heading1"/>
      </w:pPr>
      <w:r w:rsidRPr="006E13D1">
        <w:t>1</w:t>
      </w:r>
      <w:r w:rsidRPr="006E13D1">
        <w:tab/>
      </w:r>
      <w:r w:rsidR="0056573F">
        <w:t>Introduction</w:t>
      </w:r>
    </w:p>
    <w:p w14:paraId="12AE04A5" w14:textId="77777777" w:rsidR="00CD4C7B" w:rsidRDefault="00C64AED" w:rsidP="00CD4C7B">
      <w:r>
        <w:t>During the RAN2-97 meeting in Athens, the following agreements were made for the support of direct RRC signalling from the SgNB.</w:t>
      </w:r>
    </w:p>
    <w:p w14:paraId="38F4D8E0" w14:textId="77777777" w:rsidR="00C64AED" w:rsidRDefault="00C64AED" w:rsidP="00C64AED">
      <w:pPr>
        <w:pStyle w:val="Doc-text2"/>
        <w:pBdr>
          <w:top w:val="single" w:sz="4" w:space="1" w:color="auto"/>
          <w:left w:val="single" w:sz="4" w:space="4" w:color="auto"/>
          <w:bottom w:val="single" w:sz="4" w:space="1" w:color="auto"/>
          <w:right w:val="single" w:sz="4" w:space="4" w:color="auto"/>
        </w:pBdr>
      </w:pPr>
      <w:r>
        <w:t>Agreements</w:t>
      </w:r>
    </w:p>
    <w:p w14:paraId="2430E64A" w14:textId="77777777" w:rsidR="00C64AED" w:rsidRDefault="00C64AED" w:rsidP="00C64AED">
      <w:pPr>
        <w:pStyle w:val="Doc-text2"/>
        <w:pBdr>
          <w:top w:val="single" w:sz="4" w:space="1" w:color="auto"/>
          <w:left w:val="single" w:sz="4" w:space="4" w:color="auto"/>
          <w:bottom w:val="single" w:sz="4" w:space="1" w:color="auto"/>
          <w:right w:val="single" w:sz="4" w:space="4" w:color="auto"/>
        </w:pBdr>
      </w:pPr>
      <w:r>
        <w:t>1:</w:t>
      </w:r>
      <w:r>
        <w:tab/>
        <w:t>For the SN/MN RRC reconfiguration requiring also MN/SN RRC reconfiguration, a MN RRC message is delivered with an embedded SN RRC message.</w:t>
      </w:r>
    </w:p>
    <w:p w14:paraId="02FF615B" w14:textId="77777777" w:rsidR="00C64AED" w:rsidRDefault="00C64AED" w:rsidP="00C64AED">
      <w:pPr>
        <w:pStyle w:val="Doc-text2"/>
        <w:pBdr>
          <w:top w:val="single" w:sz="4" w:space="1" w:color="auto"/>
          <w:left w:val="single" w:sz="4" w:space="4" w:color="auto"/>
          <w:bottom w:val="single" w:sz="4" w:space="1" w:color="auto"/>
          <w:right w:val="single" w:sz="4" w:space="4" w:color="auto"/>
        </w:pBdr>
      </w:pPr>
    </w:p>
    <w:p w14:paraId="1A468394" w14:textId="77777777" w:rsidR="00C64AED" w:rsidRDefault="00C64AED" w:rsidP="00C64AED">
      <w:pPr>
        <w:pStyle w:val="Doc-text2"/>
        <w:pBdr>
          <w:top w:val="single" w:sz="4" w:space="1" w:color="auto"/>
          <w:left w:val="single" w:sz="4" w:space="4" w:color="auto"/>
          <w:bottom w:val="single" w:sz="4" w:space="1" w:color="auto"/>
          <w:right w:val="single" w:sz="4" w:space="4" w:color="auto"/>
        </w:pBdr>
      </w:pPr>
      <w:r>
        <w:t>2</w:t>
      </w:r>
      <w:r>
        <w:tab/>
        <w:t>UE can be configured with an SCG SRB to allow SN RRC messages to be sent directly between UE and SN.</w:t>
      </w:r>
    </w:p>
    <w:p w14:paraId="1E327BFE" w14:textId="77777777" w:rsidR="00C64AED" w:rsidRDefault="00C64AED" w:rsidP="00C64AED">
      <w:pPr>
        <w:pStyle w:val="Doc-text2"/>
        <w:pBdr>
          <w:top w:val="single" w:sz="4" w:space="1" w:color="auto"/>
          <w:left w:val="single" w:sz="4" w:space="4" w:color="auto"/>
          <w:bottom w:val="single" w:sz="4" w:space="1" w:color="auto"/>
          <w:right w:val="single" w:sz="4" w:space="4" w:color="auto"/>
        </w:pBdr>
      </w:pPr>
    </w:p>
    <w:p w14:paraId="11CB84BC" w14:textId="77777777" w:rsidR="00C64AED" w:rsidRDefault="00C64AED" w:rsidP="00C64AED">
      <w:pPr>
        <w:pStyle w:val="Doc-text2"/>
        <w:pBdr>
          <w:top w:val="single" w:sz="4" w:space="1" w:color="auto"/>
          <w:left w:val="single" w:sz="4" w:space="4" w:color="auto"/>
          <w:bottom w:val="single" w:sz="4" w:space="1" w:color="auto"/>
          <w:right w:val="single" w:sz="4" w:space="4" w:color="auto"/>
        </w:pBdr>
      </w:pPr>
      <w:r>
        <w:t>3:</w:t>
      </w:r>
      <w:r>
        <w:tab/>
        <w:t>For SN RRC reconfigurations not requiring any coordination with MN then SN RRC messages can be transported directly to the UE (or eNB implementation can be deliver it embedded within a MN RRC message)</w:t>
      </w:r>
    </w:p>
    <w:p w14:paraId="47AFE262" w14:textId="77777777" w:rsidR="00C64AED" w:rsidRDefault="00C64AED" w:rsidP="00C64AED">
      <w:pPr>
        <w:pStyle w:val="Doc-text2"/>
        <w:pBdr>
          <w:top w:val="single" w:sz="4" w:space="1" w:color="auto"/>
          <w:left w:val="single" w:sz="4" w:space="4" w:color="auto"/>
          <w:bottom w:val="single" w:sz="4" w:space="1" w:color="auto"/>
          <w:right w:val="single" w:sz="4" w:space="4" w:color="auto"/>
        </w:pBdr>
      </w:pPr>
    </w:p>
    <w:p w14:paraId="418CAB62" w14:textId="77777777" w:rsidR="00C64AED" w:rsidRDefault="00C64AED" w:rsidP="00C64AED">
      <w:pPr>
        <w:pStyle w:val="Doc-text2"/>
        <w:pBdr>
          <w:top w:val="single" w:sz="4" w:space="1" w:color="auto"/>
          <w:left w:val="single" w:sz="4" w:space="4" w:color="auto"/>
          <w:bottom w:val="single" w:sz="4" w:space="1" w:color="auto"/>
          <w:right w:val="single" w:sz="4" w:space="4" w:color="auto"/>
        </w:pBdr>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4C97AA03" w14:textId="77777777" w:rsidR="00C64AED" w:rsidRDefault="00C64AED" w:rsidP="00C64AED">
      <w:pPr>
        <w:pStyle w:val="Doc-text2"/>
        <w:pBdr>
          <w:top w:val="single" w:sz="4" w:space="1" w:color="auto"/>
          <w:left w:val="single" w:sz="4" w:space="4" w:color="auto"/>
          <w:bottom w:val="single" w:sz="4" w:space="1" w:color="auto"/>
          <w:right w:val="single" w:sz="4" w:space="4" w:color="auto"/>
        </w:pBdr>
      </w:pPr>
    </w:p>
    <w:p w14:paraId="71622601" w14:textId="77777777" w:rsidR="00C64AED" w:rsidRDefault="00C64AED" w:rsidP="00C64AED">
      <w:pPr>
        <w:pStyle w:val="Doc-text2"/>
        <w:pBdr>
          <w:top w:val="single" w:sz="4" w:space="1" w:color="auto"/>
          <w:left w:val="single" w:sz="4" w:space="4" w:color="auto"/>
          <w:bottom w:val="single" w:sz="4" w:space="1" w:color="auto"/>
          <w:right w:val="single" w:sz="4" w:space="4" w:color="auto"/>
        </w:pBdr>
      </w:pPr>
      <w:r>
        <w:t>5</w:t>
      </w:r>
      <w:r>
        <w:tab/>
        <w:t>These agreement do not imply that the UE has to do any reordering of RRC messages.</w:t>
      </w:r>
    </w:p>
    <w:p w14:paraId="5D58EA4D" w14:textId="77777777" w:rsidR="00C64AED" w:rsidRDefault="00C64AED" w:rsidP="00CD4C7B"/>
    <w:p w14:paraId="37216237" w14:textId="77777777" w:rsidR="00C64AED" w:rsidRDefault="00C64AED" w:rsidP="00CD4C7B">
      <w:r>
        <w:t>In addition to the above, it was also agreed to support the split SRB for EN-DC.</w:t>
      </w:r>
    </w:p>
    <w:tbl>
      <w:tblPr>
        <w:tblStyle w:val="TableGrid"/>
        <w:tblW w:w="0" w:type="auto"/>
        <w:jc w:val="center"/>
        <w:tblLook w:val="04A0" w:firstRow="1" w:lastRow="0" w:firstColumn="1" w:lastColumn="0" w:noHBand="0" w:noVBand="1"/>
      </w:tblPr>
      <w:tblGrid>
        <w:gridCol w:w="3539"/>
      </w:tblGrid>
      <w:tr w:rsidR="00C64AED" w14:paraId="20343270" w14:textId="77777777" w:rsidTr="00C64AED">
        <w:trPr>
          <w:jc w:val="center"/>
        </w:trPr>
        <w:tc>
          <w:tcPr>
            <w:tcW w:w="3539" w:type="dxa"/>
          </w:tcPr>
          <w:p w14:paraId="16C1B472" w14:textId="77777777" w:rsidR="00C64AED" w:rsidRDefault="00C64AED" w:rsidP="00CD4C7B">
            <w:r>
              <w:t>Split SRB for EN-DC is supported</w:t>
            </w:r>
          </w:p>
        </w:tc>
      </w:tr>
    </w:tbl>
    <w:p w14:paraId="0D7FAEEF" w14:textId="77777777" w:rsidR="00C64AED" w:rsidRPr="006E13D1" w:rsidRDefault="00C64AED" w:rsidP="00CD4C7B">
      <w:r>
        <w:t>In this contribution</w:t>
      </w:r>
      <w:r w:rsidR="001678AC">
        <w:t xml:space="preserve">, </w:t>
      </w:r>
      <w:r>
        <w:t>we propose to support the Split SCG SRB for EN-DC.</w:t>
      </w:r>
    </w:p>
    <w:p w14:paraId="7666BBCC" w14:textId="1894E864" w:rsidR="00CD4C7B" w:rsidRPr="006E13D1" w:rsidRDefault="00CD4C7B" w:rsidP="00CD4C7B">
      <w:pPr>
        <w:pStyle w:val="Heading1"/>
      </w:pPr>
      <w:r w:rsidRPr="006E13D1">
        <w:t>2</w:t>
      </w:r>
      <w:r w:rsidRPr="006E13D1">
        <w:tab/>
      </w:r>
      <w:r w:rsidR="001678AC">
        <w:t xml:space="preserve">Support for </w:t>
      </w:r>
      <w:r w:rsidR="00D955EA">
        <w:t>Split SCG SRB</w:t>
      </w:r>
    </w:p>
    <w:p w14:paraId="5E3F6B0E" w14:textId="77777777" w:rsidR="001678AC" w:rsidRDefault="001678AC" w:rsidP="001678AC">
      <w:r>
        <w:t>Figure 2-1 illustrates a deployment scenario and used as an example for the rest of the discussion.</w:t>
      </w:r>
    </w:p>
    <w:p w14:paraId="41FAF24B" w14:textId="77777777" w:rsidR="001678AC" w:rsidRDefault="001678AC" w:rsidP="001678AC">
      <w:pPr>
        <w:jc w:val="center"/>
      </w:pPr>
      <w:r>
        <w:object w:dxaOrig="5592" w:dyaOrig="2899" w14:anchorId="041B7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03pt" o:ole="">
            <v:imagedata r:id="rId11" o:title=""/>
          </v:shape>
          <o:OLEObject Type="Embed" ProgID="Visio.Drawing.11" ShapeID="_x0000_i1025" DrawAspect="Content" ObjectID="_1551862819" r:id="rId12"/>
        </w:object>
      </w:r>
    </w:p>
    <w:p w14:paraId="07075B1F" w14:textId="77777777" w:rsidR="001678AC" w:rsidRDefault="001678AC" w:rsidP="001678AC">
      <w:pPr>
        <w:pStyle w:val="TF"/>
      </w:pPr>
      <w:r w:rsidRPr="006E13D1">
        <w:t xml:space="preserve">Figure </w:t>
      </w:r>
      <w:r>
        <w:t>2-1: Tight Interworking example</w:t>
      </w:r>
    </w:p>
    <w:p w14:paraId="403F57A1" w14:textId="77777777" w:rsidR="001678AC" w:rsidRDefault="001678AC" w:rsidP="001678AC">
      <w:pPr>
        <w:pStyle w:val="TF"/>
        <w:jc w:val="left"/>
        <w:rPr>
          <w:rFonts w:ascii="Times New Roman" w:hAnsi="Times New Roman"/>
          <w:b w:val="0"/>
        </w:rPr>
      </w:pPr>
      <w:r>
        <w:rPr>
          <w:rFonts w:ascii="Times New Roman" w:hAnsi="Times New Roman"/>
          <w:b w:val="0"/>
        </w:rPr>
        <w:lastRenderedPageBreak/>
        <w:t>We have already noted in [2] that the signalling protocol of the NR RRC is rather independent from the</w:t>
      </w:r>
      <w:r w:rsidRPr="00E01FA3">
        <w:rPr>
          <w:rFonts w:ascii="Times New Roman" w:hAnsi="Times New Roman"/>
          <w:b w:val="0"/>
        </w:rPr>
        <w:t xml:space="preserve"> lower transport layers (or the radio interface layer).</w:t>
      </w:r>
      <w:r>
        <w:rPr>
          <w:rFonts w:ascii="Times New Roman" w:hAnsi="Times New Roman"/>
          <w:b w:val="0"/>
        </w:rPr>
        <w:t xml:space="preserve"> Hence, t</w:t>
      </w:r>
      <w:r w:rsidRPr="00E01FA3">
        <w:rPr>
          <w:rFonts w:ascii="Times New Roman" w:hAnsi="Times New Roman"/>
          <w:b w:val="0"/>
        </w:rPr>
        <w:t>he NR RRC protocol entity is logically separate from the lower layer transport protocols</w:t>
      </w:r>
      <w:r>
        <w:rPr>
          <w:rFonts w:ascii="Times New Roman" w:hAnsi="Times New Roman"/>
          <w:b w:val="0"/>
        </w:rPr>
        <w:t>.</w:t>
      </w:r>
    </w:p>
    <w:p w14:paraId="59118B23" w14:textId="77777777" w:rsidR="006667F6" w:rsidRDefault="006667F6" w:rsidP="001678AC">
      <w:pPr>
        <w:pStyle w:val="TF"/>
        <w:jc w:val="left"/>
        <w:rPr>
          <w:rFonts w:ascii="Times New Roman" w:hAnsi="Times New Roman"/>
          <w:b w:val="0"/>
        </w:rPr>
      </w:pPr>
      <w:r>
        <w:rPr>
          <w:rFonts w:ascii="Times New Roman" w:hAnsi="Times New Roman"/>
          <w:b w:val="0"/>
        </w:rPr>
        <w:t>Since NR small cell coverage will be spotty, the chances of SCG RLF are higher. SCG RRC messages would benefit from the diversity that could be provided by the MeNB. In [3], we describe the handling of SCG RLF which benefits from this principle.</w:t>
      </w:r>
    </w:p>
    <w:p w14:paraId="11139AC7" w14:textId="77777777" w:rsidR="006667F6" w:rsidRPr="006667F6" w:rsidRDefault="006667F6" w:rsidP="001678AC">
      <w:pPr>
        <w:pStyle w:val="TF"/>
        <w:jc w:val="left"/>
        <w:rPr>
          <w:rFonts w:ascii="Times New Roman" w:hAnsi="Times New Roman"/>
        </w:rPr>
      </w:pPr>
      <w:r w:rsidRPr="006667F6">
        <w:rPr>
          <w:rFonts w:ascii="Times New Roman" w:hAnsi="Times New Roman"/>
        </w:rPr>
        <w:t xml:space="preserve">Observation 1: </w:t>
      </w:r>
      <w:r>
        <w:rPr>
          <w:rFonts w:ascii="Times New Roman" w:hAnsi="Times New Roman"/>
        </w:rPr>
        <w:t xml:space="preserve">SCG RRC messages will benefit from a diversity path offered by the MeNB. </w:t>
      </w:r>
    </w:p>
    <w:p w14:paraId="38258EB3" w14:textId="77777777" w:rsidR="00CD4C7B" w:rsidRPr="006E13D1" w:rsidRDefault="00CD4C7B" w:rsidP="00CD4C7B">
      <w:pPr>
        <w:pStyle w:val="Heading1"/>
      </w:pPr>
      <w:r w:rsidRPr="006E13D1">
        <w:t>3</w:t>
      </w:r>
      <w:r w:rsidRPr="006E13D1">
        <w:tab/>
      </w:r>
      <w:r w:rsidR="001678AC">
        <w:t>Conclusion</w:t>
      </w:r>
    </w:p>
    <w:p w14:paraId="13E02AAB" w14:textId="77777777" w:rsidR="00CD4C7B" w:rsidRDefault="006667F6" w:rsidP="00CD4C7B">
      <w:r>
        <w:t>In this contribution, we have briefly discussed how SCG RRC messages may benefit from RRC diversity. We reiterate our observation and propose the following:</w:t>
      </w:r>
    </w:p>
    <w:p w14:paraId="19D19A18" w14:textId="77777777" w:rsidR="006667F6" w:rsidRDefault="006667F6" w:rsidP="00CD4C7B">
      <w:pPr>
        <w:rPr>
          <w:b/>
        </w:rPr>
      </w:pPr>
      <w:r w:rsidRPr="006667F6">
        <w:rPr>
          <w:b/>
        </w:rPr>
        <w:t>Observation 1: SCG RRC messages will benefit from a diversity path offered by the MeNB.</w:t>
      </w:r>
    </w:p>
    <w:p w14:paraId="1911587F" w14:textId="54ECE4A5" w:rsidR="006667F6" w:rsidRDefault="006667F6" w:rsidP="00CD4C7B">
      <w:pPr>
        <w:rPr>
          <w:b/>
        </w:rPr>
      </w:pPr>
      <w:r w:rsidRPr="006667F6">
        <w:rPr>
          <w:b/>
        </w:rPr>
        <w:t xml:space="preserve">Proposal 1: Split SCG SRB for </w:t>
      </w:r>
      <w:r>
        <w:rPr>
          <w:b/>
        </w:rPr>
        <w:t>LTE/NR dual connectivity</w:t>
      </w:r>
      <w:r w:rsidRPr="006667F6">
        <w:rPr>
          <w:b/>
        </w:rPr>
        <w:t xml:space="preserve"> is supported</w:t>
      </w:r>
      <w:r>
        <w:rPr>
          <w:b/>
        </w:rPr>
        <w:t>.</w:t>
      </w:r>
    </w:p>
    <w:p w14:paraId="1F0C61DD" w14:textId="51F59C7C" w:rsidR="00DB40BB" w:rsidRPr="006667F6" w:rsidRDefault="00DB40BB" w:rsidP="00CD4C7B">
      <w:pPr>
        <w:rPr>
          <w:b/>
        </w:rPr>
      </w:pPr>
      <w:r>
        <w:rPr>
          <w:b/>
        </w:rPr>
        <w:t xml:space="preserve">Proposal 2: All </w:t>
      </w:r>
      <w:r w:rsidR="00211D3C">
        <w:rPr>
          <w:b/>
        </w:rPr>
        <w:t xml:space="preserve">SCG </w:t>
      </w:r>
      <w:r>
        <w:rPr>
          <w:b/>
        </w:rPr>
        <w:t xml:space="preserve">RRC </w:t>
      </w:r>
      <w:r w:rsidR="00211D3C">
        <w:rPr>
          <w:b/>
        </w:rPr>
        <w:t>messages</w:t>
      </w:r>
      <w:r>
        <w:rPr>
          <w:b/>
        </w:rPr>
        <w:t xml:space="preserve"> are sent over the MCG and SCG links when the split SCG SRB is configured.</w:t>
      </w:r>
    </w:p>
    <w:p w14:paraId="497CC871" w14:textId="77777777" w:rsidR="00CD4C7B" w:rsidRPr="006E13D1" w:rsidRDefault="00CD4C7B" w:rsidP="00CD4C7B">
      <w:pPr>
        <w:pStyle w:val="Heading1"/>
      </w:pPr>
      <w:r w:rsidRPr="006E13D1">
        <w:t>References</w:t>
      </w:r>
    </w:p>
    <w:p w14:paraId="53227BC1" w14:textId="4464C89C" w:rsidR="00CD4C7B" w:rsidRPr="006E13D1" w:rsidRDefault="007B10C4" w:rsidP="007B10C4">
      <w:pPr>
        <w:numPr>
          <w:ilvl w:val="0"/>
          <w:numId w:val="4"/>
        </w:numPr>
        <w:overflowPunct w:val="0"/>
        <w:autoSpaceDE w:val="0"/>
        <w:autoSpaceDN w:val="0"/>
        <w:adjustRightInd w:val="0"/>
        <w:textAlignment w:val="baseline"/>
      </w:pPr>
      <w:bookmarkStart w:id="1" w:name="_Ref75086397"/>
      <w:r w:rsidRPr="007B10C4">
        <w:t>R2-1702631</w:t>
      </w:r>
      <w:r>
        <w:t xml:space="preserve">: </w:t>
      </w:r>
      <w:r w:rsidRPr="007B10C4">
        <w:t>S-RLF with Tight Interworking</w:t>
      </w:r>
      <w:r w:rsidR="00CD4C7B" w:rsidRPr="006E13D1">
        <w:t xml:space="preserve"> </w:t>
      </w:r>
      <w:r w:rsidRPr="007B10C4">
        <w:rPr>
          <w:i/>
          <w:iCs/>
        </w:rPr>
        <w:t>Nokia, Alcatel-Lucent Shanghai Bell</w:t>
      </w:r>
    </w:p>
    <w:bookmarkEnd w:id="1"/>
    <w:p w14:paraId="6CF279BF" w14:textId="2D0FF1D9" w:rsidR="00CD4C7B" w:rsidRPr="006E13D1" w:rsidRDefault="007B10C4" w:rsidP="007B10C4">
      <w:pPr>
        <w:numPr>
          <w:ilvl w:val="0"/>
          <w:numId w:val="4"/>
        </w:numPr>
        <w:overflowPunct w:val="0"/>
        <w:autoSpaceDE w:val="0"/>
        <w:autoSpaceDN w:val="0"/>
        <w:adjustRightInd w:val="0"/>
        <w:textAlignment w:val="baseline"/>
      </w:pPr>
      <w:r>
        <w:t xml:space="preserve">R2-1702776: </w:t>
      </w:r>
      <w:r w:rsidRPr="007B10C4">
        <w:t>Further considerations for SCG and SN node change</w:t>
      </w:r>
      <w:r w:rsidRPr="007B10C4">
        <w:rPr>
          <w:i/>
          <w:iCs/>
        </w:rPr>
        <w:t>, Alcatel-Lucent Shanghai Bell</w:t>
      </w:r>
      <w:bookmarkStart w:id="2" w:name="_GoBack"/>
      <w:bookmarkEnd w:id="2"/>
    </w:p>
    <w:p w14:paraId="2D357E09" w14:textId="77777777" w:rsidR="00CD4C7B" w:rsidRPr="006E13D1" w:rsidRDefault="00CD4C7B" w:rsidP="00CD4C7B"/>
    <w:p w14:paraId="7830FD9A" w14:textId="77777777" w:rsidR="00CD4C7B" w:rsidRDefault="00CD4C7B" w:rsidP="00CD4C7B"/>
    <w:p w14:paraId="0A7DF116"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681DA" w14:textId="77777777" w:rsidR="00AE70B0" w:rsidRDefault="00AE70B0">
      <w:r>
        <w:separator/>
      </w:r>
    </w:p>
  </w:endnote>
  <w:endnote w:type="continuationSeparator" w:id="0">
    <w:p w14:paraId="668065EE" w14:textId="77777777" w:rsidR="00AE70B0" w:rsidRDefault="00AE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6A4C5" w14:textId="77777777" w:rsidR="00AE70B0" w:rsidRDefault="00AE70B0">
      <w:r>
        <w:separator/>
      </w:r>
    </w:p>
  </w:footnote>
  <w:footnote w:type="continuationSeparator" w:id="0">
    <w:p w14:paraId="554BE82A" w14:textId="77777777" w:rsidR="00AE70B0" w:rsidRDefault="00AE7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1D6D"/>
    <w:rsid w:val="00080512"/>
    <w:rsid w:val="00090468"/>
    <w:rsid w:val="000B3325"/>
    <w:rsid w:val="000B7BCF"/>
    <w:rsid w:val="000C522B"/>
    <w:rsid w:val="000D58AB"/>
    <w:rsid w:val="00145075"/>
    <w:rsid w:val="001678AC"/>
    <w:rsid w:val="001741A0"/>
    <w:rsid w:val="00194CD0"/>
    <w:rsid w:val="001B49C9"/>
    <w:rsid w:val="001F168B"/>
    <w:rsid w:val="001F7831"/>
    <w:rsid w:val="00204045"/>
    <w:rsid w:val="00211D3C"/>
    <w:rsid w:val="0022606D"/>
    <w:rsid w:val="002747EC"/>
    <w:rsid w:val="002855BF"/>
    <w:rsid w:val="002F0D22"/>
    <w:rsid w:val="003172DC"/>
    <w:rsid w:val="00326069"/>
    <w:rsid w:val="0035462D"/>
    <w:rsid w:val="003B40AD"/>
    <w:rsid w:val="003C4E37"/>
    <w:rsid w:val="003E16BE"/>
    <w:rsid w:val="00401855"/>
    <w:rsid w:val="00477455"/>
    <w:rsid w:val="004C18E4"/>
    <w:rsid w:val="004D3578"/>
    <w:rsid w:val="004D380D"/>
    <w:rsid w:val="004E213A"/>
    <w:rsid w:val="00503171"/>
    <w:rsid w:val="00506C28"/>
    <w:rsid w:val="00534DA0"/>
    <w:rsid w:val="00543E6C"/>
    <w:rsid w:val="00565087"/>
    <w:rsid w:val="0056573F"/>
    <w:rsid w:val="00611566"/>
    <w:rsid w:val="00646D99"/>
    <w:rsid w:val="00656910"/>
    <w:rsid w:val="006667F6"/>
    <w:rsid w:val="006C66D8"/>
    <w:rsid w:val="006D1E24"/>
    <w:rsid w:val="006E1417"/>
    <w:rsid w:val="006F6A2C"/>
    <w:rsid w:val="00734A5B"/>
    <w:rsid w:val="00744E76"/>
    <w:rsid w:val="00757D40"/>
    <w:rsid w:val="00781F0F"/>
    <w:rsid w:val="0078727C"/>
    <w:rsid w:val="0079049D"/>
    <w:rsid w:val="007B10C4"/>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4BB0"/>
    <w:rsid w:val="009A0AF3"/>
    <w:rsid w:val="009B07CD"/>
    <w:rsid w:val="009C19E9"/>
    <w:rsid w:val="00A106A6"/>
    <w:rsid w:val="00A10F02"/>
    <w:rsid w:val="00A204CA"/>
    <w:rsid w:val="00A53724"/>
    <w:rsid w:val="00A82346"/>
    <w:rsid w:val="00A9671C"/>
    <w:rsid w:val="00AA1553"/>
    <w:rsid w:val="00AE70B0"/>
    <w:rsid w:val="00B15449"/>
    <w:rsid w:val="00B47FD1"/>
    <w:rsid w:val="00B516BB"/>
    <w:rsid w:val="00C12B51"/>
    <w:rsid w:val="00C24650"/>
    <w:rsid w:val="00C33079"/>
    <w:rsid w:val="00C64AED"/>
    <w:rsid w:val="00C83A13"/>
    <w:rsid w:val="00C92967"/>
    <w:rsid w:val="00CA3D0C"/>
    <w:rsid w:val="00CA654B"/>
    <w:rsid w:val="00CD4C7B"/>
    <w:rsid w:val="00D25106"/>
    <w:rsid w:val="00D738D6"/>
    <w:rsid w:val="00D80795"/>
    <w:rsid w:val="00D87E00"/>
    <w:rsid w:val="00D9134D"/>
    <w:rsid w:val="00D955EA"/>
    <w:rsid w:val="00D96D11"/>
    <w:rsid w:val="00DA7A03"/>
    <w:rsid w:val="00DB1818"/>
    <w:rsid w:val="00DB40BB"/>
    <w:rsid w:val="00DC309B"/>
    <w:rsid w:val="00DC4DA2"/>
    <w:rsid w:val="00E62835"/>
    <w:rsid w:val="00E77645"/>
    <w:rsid w:val="00E83697"/>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9204F9A"/>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C64A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4AED"/>
    <w:rPr>
      <w:rFonts w:ascii="Arial" w:eastAsia="MS Mincho" w:hAnsi="Arial"/>
      <w:szCs w:val="24"/>
    </w:rPr>
  </w:style>
  <w:style w:type="table" w:styleId="TableGrid">
    <w:name w:val="Table Grid"/>
    <w:basedOn w:val="TableNormal"/>
    <w:rsid w:val="00C64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678AC"/>
    <w:rPr>
      <w:rFonts w:ascii="Arial" w:hAnsi="Arial"/>
      <w:b/>
      <w:lang w:eastAsia="en-US"/>
    </w:rPr>
  </w:style>
  <w:style w:type="character" w:styleId="CommentReference">
    <w:name w:val="annotation reference"/>
    <w:basedOn w:val="DefaultParagraphFont"/>
    <w:rsid w:val="00D25106"/>
    <w:rPr>
      <w:sz w:val="16"/>
      <w:szCs w:val="16"/>
    </w:rPr>
  </w:style>
  <w:style w:type="paragraph" w:styleId="CommentText">
    <w:name w:val="annotation text"/>
    <w:basedOn w:val="Normal"/>
    <w:link w:val="CommentTextChar"/>
    <w:rsid w:val="00D25106"/>
  </w:style>
  <w:style w:type="character" w:customStyle="1" w:styleId="CommentTextChar">
    <w:name w:val="Comment Text Char"/>
    <w:basedOn w:val="DefaultParagraphFont"/>
    <w:link w:val="CommentText"/>
    <w:rsid w:val="00D25106"/>
    <w:rPr>
      <w:lang w:eastAsia="en-US"/>
    </w:rPr>
  </w:style>
  <w:style w:type="paragraph" w:styleId="CommentSubject">
    <w:name w:val="annotation subject"/>
    <w:basedOn w:val="CommentText"/>
    <w:next w:val="CommentText"/>
    <w:link w:val="CommentSubjectChar"/>
    <w:rsid w:val="00D25106"/>
    <w:rPr>
      <w:b/>
      <w:bCs/>
    </w:rPr>
  </w:style>
  <w:style w:type="character" w:customStyle="1" w:styleId="CommentSubjectChar">
    <w:name w:val="Comment Subject Char"/>
    <w:basedOn w:val="CommentTextChar"/>
    <w:link w:val="CommentSubject"/>
    <w:rsid w:val="00D25106"/>
    <w:rPr>
      <w:b/>
      <w:bCs/>
      <w:lang w:eastAsia="en-US"/>
    </w:rPr>
  </w:style>
  <w:style w:type="paragraph" w:styleId="BalloonText">
    <w:name w:val="Balloon Text"/>
    <w:basedOn w:val="Normal"/>
    <w:link w:val="BalloonTextChar"/>
    <w:rsid w:val="00D25106"/>
    <w:pPr>
      <w:spacing w:after="0"/>
    </w:pPr>
    <w:rPr>
      <w:rFonts w:ascii="Segoe UI" w:hAnsi="Segoe UI" w:cs="Segoe UI"/>
      <w:sz w:val="18"/>
      <w:szCs w:val="18"/>
    </w:rPr>
  </w:style>
  <w:style w:type="character" w:customStyle="1" w:styleId="BalloonTextChar">
    <w:name w:val="Balloon Text Char"/>
    <w:basedOn w:val="DefaultParagraphFont"/>
    <w:link w:val="BalloonText"/>
    <w:rsid w:val="00D2510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SP-5AIRPNAIUNRU-859666464-37</_dlc_DocId>
    <_dlc_DocIdUrl xmlns="71c5aaf6-e6ce-465b-b873-5148d2a4c105">
      <Url>https://nokia.sharepoint.com/sites/c5g/e2earch/_layouts/15/DocIdRedir.aspx?ID=SP-5AIRPNAIUNRU-859666464-37</Url>
      <Description>SP-5AIRPNAIUNRU-859666464-37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39B7D-4755-4D41-B82A-81AAA67BA44A}">
  <ds:schemaRefs>
    <ds:schemaRef ds:uri="http://schemas.microsoft.com/office/2006/metadata/properties"/>
    <ds:schemaRef ds:uri="a3840f4f-04be-43d1-b2ef-6ff1382503c7"/>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3b34c8f0-1ef5-4d1e-bb66-517ce7fe7356"/>
    <ds:schemaRef ds:uri="71c5aaf6-e6ce-465b-b873-5148d2a4c105"/>
    <ds:schemaRef ds:uri="http://purl.org/dc/dcmitype/"/>
    <ds:schemaRef ds:uri="http://purl.org/dc/terms/"/>
  </ds:schemaRefs>
</ds:datastoreItem>
</file>

<file path=customXml/itemProps2.xml><?xml version="1.0" encoding="utf-8"?>
<ds:datastoreItem xmlns:ds="http://schemas.openxmlformats.org/officeDocument/2006/customXml" ds:itemID="{9FC5EE23-A9BB-40DF-9AF3-2F2FCAFE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5E5C0A-81E2-49CD-B810-DF59D21B6BF1}">
  <ds:schemaRefs>
    <ds:schemaRef ds:uri="http://schemas.microsoft.com/sharepoint/events"/>
  </ds:schemaRefs>
</ds:datastoreItem>
</file>

<file path=customXml/itemProps4.xml><?xml version="1.0" encoding="utf-8"?>
<ds:datastoreItem xmlns:ds="http://schemas.openxmlformats.org/officeDocument/2006/customXml" ds:itemID="{380B4BB3-C3DD-4199-80A4-4B6E7C134E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286</TotalTime>
  <Pages>2</Pages>
  <Words>413</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22</cp:revision>
  <dcterms:created xsi:type="dcterms:W3CDTF">2016-08-12T03:53:00Z</dcterms:created>
  <dcterms:modified xsi:type="dcterms:W3CDTF">2017-03-24T10:13:00Z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19a9b6fd-ae1b-41ab-9209-b714739617fa</vt:lpwstr>
  </property>
</Properties>
</file>